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mc:AlternateContent>
          <mc:Choice Requires="wpg">
            <w:drawing>
              <wp:anchor distT="0" distB="0" distL="114300" distR="114300" simplePos="0" relativeHeight="251662336" behindDoc="1" locked="0" layoutInCell="1" allowOverlap="1">
                <wp:simplePos x="0" y="0"/>
                <wp:positionH relativeFrom="page">
                  <wp:posOffset>767715</wp:posOffset>
                </wp:positionH>
                <wp:positionV relativeFrom="page">
                  <wp:posOffset>2392680</wp:posOffset>
                </wp:positionV>
                <wp:extent cx="6102350" cy="1270"/>
                <wp:effectExtent l="0" t="22860" r="12700" b="33020"/>
                <wp:wrapNone/>
                <wp:docPr id="4" name="组合 4"/>
                <wp:cNvGraphicFramePr/>
                <a:graphic xmlns:a="http://schemas.openxmlformats.org/drawingml/2006/main">
                  <a:graphicData uri="http://schemas.microsoft.com/office/word/2010/wordprocessingGroup">
                    <wpg:wgp>
                      <wpg:cNvGrpSpPr/>
                      <wpg:grpSpPr>
                        <a:xfrm>
                          <a:off x="0" y="0"/>
                          <a:ext cx="6102350" cy="1270"/>
                          <a:chOff x="1210" y="3768"/>
                          <a:chExt cx="9610" cy="2"/>
                        </a:xfrm>
                      </wpg:grpSpPr>
                      <wps:wsp>
                        <wps:cNvPr id="3" name="任意多边形 3"/>
                        <wps:cNvSpPr/>
                        <wps:spPr>
                          <a:xfrm>
                            <a:off x="1210" y="3768"/>
                            <a:ext cx="9610" cy="2"/>
                          </a:xfrm>
                          <a:custGeom>
                            <a:avLst/>
                            <a:gdLst/>
                            <a:ahLst/>
                            <a:cxnLst/>
                            <a:pathLst>
                              <a:path w="9610">
                                <a:moveTo>
                                  <a:pt x="0" y="0"/>
                                </a:moveTo>
                                <a:lnTo>
                                  <a:pt x="9609" y="0"/>
                                </a:lnTo>
                              </a:path>
                            </a:pathLst>
                          </a:custGeom>
                          <a:noFill/>
                          <a:ln w="45720" cap="flat" cmpd="sng">
                            <a:solidFill>
                              <a:srgbClr val="F43F2B"/>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0.45pt;margin-top:188.4pt;height:0.1pt;width:480.5pt;mso-position-horizontal-relative:page;mso-position-vertical-relative:page;z-index:-251654144;mso-width-relative:page;mso-height-relative:page;" coordorigin="1210,3768" coordsize="9610,2" o:gfxdata="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PKu70HaAAAADAEAAA8AAAAAAAAAAQAgAAAAIgAAAGRycy9kb3ducmV2LnhtbFBLAQIUABQAAAAI&#10;AIdO4kACG/AglgIAALEFAAAOAAAAAAAAAAEAIAAAACkBAABkcnMvZTJvRG9jLnhtbFBLBQYAAAAA&#10;BgAGAFkBAAAxBgAAAAA=&#10;">
                <o:lock v:ext="edit" aspectratio="f"/>
                <v:shape id="_x0000_s1026" o:spid="_x0000_s1026" o:spt="100" style="position:absolute;left:1210;top:3768;height:2;width:9610;" filled="f" stroked="t" coordsize="9610,1" o:gfxdata="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u43+5AAAA2gAA&#10;AA8AAAAAAAAAAQAgAAAAIgAAAGRycy9kb3ducmV2LnhtbFBLAQIUABQAAAAIAIdO4kAzLwWeOwAA&#10;ADkAAAAQAAAAAAAAAAEAIAAAAAgBAABkcnMvc2hhcGV4bWwueG1sUEsFBgAAAAAGAAYAWwEAALID&#10;AAAAAA==&#10;" path="m0,0l9609,0e">
                  <v:fill on="f" focussize="0,0"/>
                  <v:stroke weight="3.6pt" color="#F43F2B" joinstyle="round"/>
                  <v:imagedata o:title=""/>
                  <o:lock v:ext="edit" aspectratio="f"/>
                </v:shape>
              </v:group>
            </w:pict>
          </mc:Fallback>
        </mc:AlternateContent>
      </w:r>
      <w:r>
        <w:drawing>
          <wp:anchor distT="0" distB="0" distL="114300" distR="114300" simplePos="0" relativeHeight="251660288" behindDoc="1" locked="0" layoutInCell="1" allowOverlap="1">
            <wp:simplePos x="0" y="0"/>
            <wp:positionH relativeFrom="column">
              <wp:posOffset>-1035685</wp:posOffset>
            </wp:positionH>
            <wp:positionV relativeFrom="paragraph">
              <wp:posOffset>161925</wp:posOffset>
            </wp:positionV>
            <wp:extent cx="7338060" cy="1314450"/>
            <wp:effectExtent l="0" t="0" r="15240" b="0"/>
            <wp:wrapTight wrapText="bothSides">
              <wp:wrapPolygon>
                <wp:start x="0" y="0"/>
                <wp:lineTo x="0" y="21287"/>
                <wp:lineTo x="21533" y="21287"/>
                <wp:lineTo x="2153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7338060" cy="1314450"/>
                    </a:xfrm>
                    <a:prstGeom prst="rect">
                      <a:avLst/>
                    </a:prstGeom>
                    <a:noFill/>
                    <a:ln>
                      <a:noFill/>
                    </a:ln>
                  </pic:spPr>
                </pic:pic>
              </a:graphicData>
            </a:graphic>
          </wp:anchor>
        </w:drawing>
      </w:r>
    </w:p>
    <w:p>
      <w:pPr>
        <w:jc w:val="center"/>
        <w:rPr>
          <w:rFonts w:hint="eastAsia" w:ascii="华文中宋" w:hAnsi="华文中宋" w:eastAsia="华文中宋" w:cs="华文中宋"/>
          <w:b w:val="0"/>
          <w:bCs w:val="0"/>
          <w:sz w:val="42"/>
          <w:szCs w:val="42"/>
          <w:lang w:val="en-US" w:eastAsia="zh-CN"/>
        </w:rPr>
      </w:pPr>
      <w:r>
        <w:rPr>
          <w:rFonts w:hint="eastAsia" w:ascii="华文中宋" w:hAnsi="华文中宋" w:eastAsia="华文中宋" w:cs="华文中宋"/>
          <w:b w:val="0"/>
          <w:bCs w:val="0"/>
          <w:sz w:val="42"/>
          <w:szCs w:val="42"/>
          <w:lang w:val="en-US" w:eastAsia="zh-CN"/>
        </w:rPr>
        <w:t>内蒙古自治区工程咨询协会《基于2023年度“双随机、一公开”抽查计划》检查</w:t>
      </w:r>
    </w:p>
    <w:p>
      <w:pPr>
        <w:jc w:val="center"/>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各甲、乙级工程咨询资信单位：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内蒙古自治区市场监督管理局印发的《内蒙古自治区2023年度市场监管领域部门联合“双随机、一公开”抽查计划》的通知，为了规范工程咨询单位执业以及咨询工程师（投资）执业登记行为，促进工程咨询业高质量发展，内蒙古自治区工程咨询协会在内蒙古自治区发改委的领导下开展2023年工程咨询甲级资信单位和乙级资信单位“双随机、一公开”执业检查。现将《基于2023年度“双随机、一公开”抽查计划》检查问卷发送你们，请按要求回复，感谢您的支持！我们将根据实际情况进行重点单位实地核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单位基本信息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1.单位名称（全称）：</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2.单位属性：（单选）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mc:AlternateContent>
          <mc:Choice Requires="wpg">
            <w:drawing>
              <wp:anchor distT="0" distB="0" distL="114300" distR="114300" simplePos="0" relativeHeight="251661312" behindDoc="0" locked="0" layoutInCell="1" allowOverlap="1">
                <wp:simplePos x="0" y="0"/>
                <wp:positionH relativeFrom="page">
                  <wp:posOffset>734060</wp:posOffset>
                </wp:positionH>
                <wp:positionV relativeFrom="page">
                  <wp:posOffset>9609455</wp:posOffset>
                </wp:positionV>
                <wp:extent cx="6117590" cy="1270"/>
                <wp:effectExtent l="0" t="21590" r="16510" b="34290"/>
                <wp:wrapNone/>
                <wp:docPr id="6" name="组合 6"/>
                <wp:cNvGraphicFramePr/>
                <a:graphic xmlns:a="http://schemas.openxmlformats.org/drawingml/2006/main">
                  <a:graphicData uri="http://schemas.microsoft.com/office/word/2010/wordprocessingGroup">
                    <wpg:wgp>
                      <wpg:cNvGrpSpPr/>
                      <wpg:grpSpPr>
                        <a:xfrm>
                          <a:off x="0" y="0"/>
                          <a:ext cx="6117590" cy="1270"/>
                          <a:chOff x="1190" y="15696"/>
                          <a:chExt cx="9634" cy="2"/>
                        </a:xfrm>
                      </wpg:grpSpPr>
                      <wps:wsp>
                        <wps:cNvPr id="5" name="任意多边形 5"/>
                        <wps:cNvSpPr/>
                        <wps:spPr>
                          <a:xfrm>
                            <a:off x="1190" y="15696"/>
                            <a:ext cx="9634" cy="2"/>
                          </a:xfrm>
                          <a:custGeom>
                            <a:avLst/>
                            <a:gdLst/>
                            <a:ahLst/>
                            <a:cxnLst/>
                            <a:pathLst>
                              <a:path w="9634">
                                <a:moveTo>
                                  <a:pt x="0" y="0"/>
                                </a:moveTo>
                                <a:lnTo>
                                  <a:pt x="9634" y="0"/>
                                </a:lnTo>
                              </a:path>
                            </a:pathLst>
                          </a:custGeom>
                          <a:noFill/>
                          <a:ln w="42672" cap="flat" cmpd="sng">
                            <a:solidFill>
                              <a:srgbClr val="DF543B"/>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7.8pt;margin-top:756.65pt;height:0.1pt;width:481.7pt;mso-position-horizontal-relative:page;mso-position-vertical-relative:page;z-index:251661312;mso-width-relative:page;mso-height-relative:page;" coordorigin="1190,15696" coordsize="9634,2" o:gfxdata="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AJhzOrbAAAADgEAAA8AAAAAAAAAAQAgAAAAIgAAAGRycy9kb3ducmV2LnhtbFBLAQIUABQAAAAI&#10;AIdO4kAa9hH9lQIAALMFAAAOAAAAAAAAAAEAIAAAACoBAABkcnMvZTJvRG9jLnhtbFBLBQYAAAAA&#10;BgAGAFkBAAAxBgAAAAA=&#10;">
                <o:lock v:ext="edit" aspectratio="f"/>
                <v:shape id="_x0000_s1026" o:spid="_x0000_s1026" o:spt="100" style="position:absolute;left:1190;top:15696;height:2;width:9634;" filled="f" stroked="t" coordsize="9634,1" o:gfxdata="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5M3K8AAAA&#10;2gAAAA8AAAAAAAAAAQAgAAAAIgAAAGRycy9kb3ducmV2LnhtbFBLAQIUABQAAAAIAIdO4kAzLwWe&#10;OwAAADkAAAAQAAAAAAAAAAEAIAAAAAsBAABkcnMvc2hhcGV4bWwueG1sUEsFBgAAAAAGAAYAWwEA&#10;ALUDAAAAAA==&#10;" path="m0,0l9634,0e">
                  <v:fill on="f" focussize="0,0"/>
                  <v:stroke weight="3.36pt" color="#DF543B" joinstyle="round"/>
                  <v:imagedata o:title=""/>
                  <o:lock v:ext="edit" aspectratio="f"/>
                </v:shape>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事业单位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国有企业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民营企业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外资企业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2.单位注册地：</w:t>
      </w:r>
      <w:r>
        <w:rPr>
          <w:rFonts w:hint="eastAsia" w:ascii="仿宋" w:hAnsi="仿宋" w:eastAsia="仿宋" w:cs="仿宋"/>
          <w:sz w:val="32"/>
          <w:szCs w:val="32"/>
          <w:u w:val="single"/>
          <w:lang w:val="en-US" w:eastAsia="zh-CN"/>
        </w:rPr>
        <w:t>（            ）</w:t>
      </w:r>
      <w:r>
        <w:rPr>
          <w:rFonts w:hint="eastAsia" w:ascii="仿宋" w:hAnsi="仿宋" w:eastAsia="仿宋" w:cs="仿宋"/>
          <w:sz w:val="32"/>
          <w:szCs w:val="32"/>
          <w:lang w:val="en-US" w:eastAsia="zh-CN"/>
        </w:rPr>
        <w:t>省（自治区/直辖市）</w:t>
      </w:r>
      <w:r>
        <w:rPr>
          <w:rFonts w:hint="eastAsia" w:ascii="仿宋" w:hAnsi="仿宋" w:eastAsia="仿宋" w:cs="仿宋"/>
          <w:sz w:val="32"/>
          <w:szCs w:val="32"/>
          <w:u w:val="single"/>
          <w:lang w:val="en-US" w:eastAsia="zh-CN"/>
        </w:rPr>
        <w:t>（            ）</w:t>
      </w:r>
      <w:r>
        <w:rPr>
          <w:rFonts w:hint="eastAsia" w:ascii="仿宋" w:hAnsi="仿宋" w:eastAsia="仿宋" w:cs="仿宋"/>
          <w:sz w:val="32"/>
          <w:szCs w:val="32"/>
          <w:lang w:val="en-US" w:eastAsia="zh-CN"/>
        </w:rPr>
        <w:t>市（区/县）</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工程咨询业务领域：（多选）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规划咨询                       </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评估咨询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项目咨询                       </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全过程工程咨询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建设项目选址论证               </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建设项目环境影响评价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建设项目压覆重要矿产资源评估   </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节能评估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防洪影响评价                   </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水资源论证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生产建设项目水土保持方案       </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建设工程文物保护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政府和社会资本合作（PPP）咨询  </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社会风险评估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项目融资咨询                   </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工程造价咨询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信息技术咨询                   </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风险管理咨询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 xml:space="preserve">项目后评价咨询                 </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工程保险咨询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建筑节能与绿色建筑咨询</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贵单位的专业执业范围：</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是否有跨专业执业情况：（单选）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否</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工程咨询资信等级：（单选）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甲级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乙级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贵单位成立时间：（       ）年</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目前正式在岗职工总数：（    ）人；其中，高级职称（    ）人，中级职称（    ）人；高学历人员中硕士及以上（    ）人，本科（    ）人，大专（    ）人。</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根据《咨询工程师（投资）执业登记规程》（中咨协资信[2022]53号文件），贵单位目前完成登记的咨询工程师（投资）共计（     ）人，尚未完成登记的咨询工程师（投资）共计（     ）人；其中完成本年度继续教育的（     ）人，未完成继续教育的（     ）人。</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贵单位法人：（       ）；法人联系电话：（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工程咨询单位业务统计：</w:t>
      </w:r>
    </w:p>
    <w:p>
      <w:pPr>
        <w:keepNext w:val="0"/>
        <w:keepLines w:val="0"/>
        <w:pageBreakBefore w:val="0"/>
        <w:widowControl w:val="0"/>
        <w:numPr>
          <w:ilvl w:val="0"/>
          <w:numId w:val="3"/>
        </w:numPr>
        <w:kinsoku/>
        <w:wordWrap/>
        <w:overflowPunct/>
        <w:topLinePunct w:val="0"/>
        <w:autoSpaceDE/>
        <w:autoSpaceDN/>
        <w:bidi w:val="0"/>
        <w:adjustRightInd/>
        <w:snapToGrid/>
        <w:ind w:left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近三年（2021-2023）贵单位咨询项目总数（个）：</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ind w:left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近三年（2021-2023）贵单位新签订工程咨询合同数（个）：</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ind w:left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近三年（2021-2023）贵单位新签订合同额（万元）：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ind w:left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近三年（2021-2023）贵单位咨询业务营业收入合计（万元）：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ind w:left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近三年（2021-2023）贵单位完成的咨询项目总数（个）：</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贵单位2022年完成工程咨询项目的名录（完成下表，可根据实际情况增减）：</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2022年度工程咨询业绩汇总表</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183"/>
        <w:gridCol w:w="1183"/>
        <w:gridCol w:w="1183"/>
        <w:gridCol w:w="1891"/>
        <w:gridCol w:w="118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甲方名称</w:t>
            </w: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项目名称</w:t>
            </w: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项目类型</w:t>
            </w:r>
          </w:p>
        </w:tc>
        <w:tc>
          <w:tcPr>
            <w:tcW w:w="11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合同额（万元）</w:t>
            </w: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签订日期</w:t>
            </w: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11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11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11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w:t>
            </w: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110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c>
          <w:tcPr>
            <w:tcW w:w="6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p>
        </w:tc>
      </w:tr>
    </w:tbl>
    <w:p>
      <w:pPr>
        <w:keepNext w:val="0"/>
        <w:keepLines w:val="0"/>
        <w:pageBreakBefore w:val="0"/>
        <w:widowControl w:val="0"/>
        <w:numPr>
          <w:ilvl w:val="0"/>
          <w:numId w:val="3"/>
        </w:numPr>
        <w:kinsoku/>
        <w:wordWrap/>
        <w:overflowPunct/>
        <w:topLinePunct w:val="0"/>
        <w:autoSpaceDE/>
        <w:autoSpaceDN/>
        <w:bidi w:val="0"/>
        <w:adjustRightInd/>
        <w:snapToGrid/>
        <w:ind w:left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贵单位是否有专门存放档案的场所：（单选）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否</w:t>
      </w:r>
    </w:p>
    <w:p>
      <w:pPr>
        <w:keepNext w:val="0"/>
        <w:keepLines w:val="0"/>
        <w:pageBreakBefore w:val="0"/>
        <w:widowControl w:val="0"/>
        <w:numPr>
          <w:ilvl w:val="0"/>
          <w:numId w:val="3"/>
        </w:numPr>
        <w:kinsoku/>
        <w:wordWrap/>
        <w:overflowPunct/>
        <w:topLinePunct w:val="0"/>
        <w:autoSpaceDE/>
        <w:autoSpaceDN/>
        <w:bidi w:val="0"/>
        <w:adjustRightInd/>
        <w:snapToGrid/>
        <w:ind w:left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贵单位每项咨询成果是否建立档案：（单选）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否</w:t>
      </w:r>
    </w:p>
    <w:p>
      <w:pPr>
        <w:keepNext w:val="0"/>
        <w:keepLines w:val="0"/>
        <w:pageBreakBefore w:val="0"/>
        <w:widowControl w:val="0"/>
        <w:numPr>
          <w:ilvl w:val="0"/>
          <w:numId w:val="3"/>
        </w:numPr>
        <w:kinsoku/>
        <w:wordWrap/>
        <w:overflowPunct/>
        <w:topLinePunct w:val="0"/>
        <w:autoSpaceDE/>
        <w:autoSpaceDN/>
        <w:bidi w:val="0"/>
        <w:adjustRightInd/>
        <w:snapToGrid/>
        <w:ind w:left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贵单位各项管理制度是否完善：（单选）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是</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问题与建议：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贵单位对工程咨询行业或者对内蒙古自治区工程咨询协会的问题或建议：</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sz w:val="28"/>
          <w:szCs w:val="28"/>
          <w:lang w:val="en-US" w:eastAsia="zh-CN"/>
        </w:rPr>
      </w:pPr>
      <w:r>
        <w:rPr>
          <w:rFonts w:hint="eastAsia" w:ascii="仿宋" w:hAnsi="仿宋" w:eastAsia="仿宋" w:cs="仿宋"/>
          <w:sz w:val="32"/>
          <w:szCs w:val="32"/>
          <w:u w:val="single"/>
          <w:lang w:val="en-US" w:eastAsia="zh-CN"/>
        </w:rPr>
        <w:t xml:space="preserve">                                                                      </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38EE8"/>
    <w:multiLevelType w:val="singleLevel"/>
    <w:tmpl w:val="93138EE8"/>
    <w:lvl w:ilvl="0" w:tentative="0">
      <w:start w:val="1"/>
      <w:numFmt w:val="decimal"/>
      <w:lvlText w:val="%1."/>
      <w:lvlJc w:val="left"/>
      <w:pPr>
        <w:tabs>
          <w:tab w:val="left" w:pos="312"/>
        </w:tabs>
      </w:pPr>
    </w:lvl>
  </w:abstractNum>
  <w:abstractNum w:abstractNumId="1">
    <w:nsid w:val="D320CD24"/>
    <w:multiLevelType w:val="singleLevel"/>
    <w:tmpl w:val="D320CD24"/>
    <w:lvl w:ilvl="0" w:tentative="0">
      <w:start w:val="1"/>
      <w:numFmt w:val="chineseCounting"/>
      <w:suff w:val="nothing"/>
      <w:lvlText w:val="%1、"/>
      <w:lvlJc w:val="left"/>
      <w:rPr>
        <w:rFonts w:hint="eastAsia"/>
      </w:rPr>
    </w:lvl>
  </w:abstractNum>
  <w:abstractNum w:abstractNumId="2">
    <w:nsid w:val="0B5F5FCA"/>
    <w:multiLevelType w:val="singleLevel"/>
    <w:tmpl w:val="0B5F5FCA"/>
    <w:lvl w:ilvl="0" w:tentative="0">
      <w:start w:val="3"/>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MjU2ZjE4NDg2MjA1MmYxZjYxYjMwMjQzOWQyYzIifQ=="/>
  </w:docVars>
  <w:rsids>
    <w:rsidRoot w:val="0BAC378F"/>
    <w:rsid w:val="0BAC378F"/>
    <w:rsid w:val="11FC70EA"/>
    <w:rsid w:val="214F13DF"/>
    <w:rsid w:val="228D120C"/>
    <w:rsid w:val="2E0E5440"/>
    <w:rsid w:val="35A72376"/>
    <w:rsid w:val="36005AF1"/>
    <w:rsid w:val="43C27B3B"/>
    <w:rsid w:val="50C730CB"/>
    <w:rsid w:val="7C865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1117</Words>
  <Characters>1232</Characters>
  <Lines>0</Lines>
  <Paragraphs>0</Paragraphs>
  <TotalTime>6</TotalTime>
  <ScaleCrop>false</ScaleCrop>
  <LinksUpToDate>false</LinksUpToDate>
  <CharactersWithSpaces>2501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2023-06-05T08:48:00Z</dcterms:created>
  <dc:creator>Administrator</dc:creator>
  <cp:lastModifiedBy>WPS_1481001870</cp:lastModifiedBy>
  <cp:lastPrinted>2023-06-06T01:59:00Z</cp:lastPrinted>
  <dcterms:modified xsi:type="dcterms:W3CDTF">2023-06-06T03:05:05Z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76886589CDE74DD487D46401585C52A8_13</vt:lpwstr>
  </property>
</Properties>
</file>