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147BF">
      <w:pPr>
        <w:widowControl/>
        <w:wordWrap w:val="0"/>
        <w:spacing w:line="480" w:lineRule="atLeas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4</w:t>
      </w:r>
    </w:p>
    <w:p w14:paraId="114AC21D">
      <w:pPr>
        <w:pStyle w:val="2"/>
        <w:widowControl/>
        <w:wordWrap w:val="0"/>
        <w:spacing w:beforeAutospacing="0" w:afterAutospacing="0" w:line="480" w:lineRule="atLeast"/>
        <w:jc w:val="center"/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上一年度完成的工程咨询项目清单</w:t>
      </w:r>
    </w:p>
    <w:bookmarkEnd w:id="0"/>
    <w:tbl>
      <w:tblPr>
        <w:tblStyle w:val="3"/>
        <w:tblW w:w="1414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515"/>
        <w:gridCol w:w="2268"/>
        <w:gridCol w:w="1798"/>
        <w:gridCol w:w="1559"/>
        <w:gridCol w:w="1559"/>
        <w:gridCol w:w="1179"/>
        <w:gridCol w:w="1194"/>
        <w:gridCol w:w="1290"/>
        <w:gridCol w:w="1065"/>
      </w:tblGrid>
      <w:tr w14:paraId="6AB5D1B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53D76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BD0A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09E4C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7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34BC9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服务范围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FF0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项目总投资（万元）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7CBEF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规划级别   /建设规模</w:t>
            </w:r>
          </w:p>
        </w:tc>
        <w:tc>
          <w:tcPr>
            <w:tcW w:w="11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23D8D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完成时间</w:t>
            </w:r>
          </w:p>
        </w:tc>
        <w:tc>
          <w:tcPr>
            <w:tcW w:w="11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4109C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委托单位</w:t>
            </w:r>
          </w:p>
        </w:tc>
        <w:tc>
          <w:tcPr>
            <w:tcW w:w="12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495EA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审批单位及审批情况</w:t>
            </w:r>
          </w:p>
        </w:tc>
        <w:tc>
          <w:tcPr>
            <w:tcW w:w="1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B69A0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34A2A1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324D1">
            <w:pPr>
              <w:widowControl/>
              <w:wordWrap w:val="0"/>
              <w:ind w:firstLine="64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F4B02">
            <w:pPr>
              <w:widowControl/>
              <w:wordWrap w:val="0"/>
              <w:ind w:firstLine="64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76864">
            <w:pPr>
              <w:widowControl/>
              <w:wordWrap w:val="0"/>
              <w:ind w:firstLine="64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AC250">
            <w:pPr>
              <w:widowControl/>
              <w:wordWrap w:val="0"/>
              <w:ind w:firstLine="64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B3A66">
            <w:pPr>
              <w:widowControl/>
              <w:wordWrap w:val="0"/>
              <w:ind w:firstLine="64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CFC2A">
            <w:pPr>
              <w:widowControl/>
              <w:wordWrap w:val="0"/>
              <w:ind w:firstLine="64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D0683">
            <w:pPr>
              <w:widowControl/>
              <w:wordWrap w:val="0"/>
              <w:ind w:firstLine="64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747A4">
            <w:pPr>
              <w:widowControl/>
              <w:wordWrap w:val="0"/>
              <w:ind w:firstLine="64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249F7">
            <w:pPr>
              <w:widowControl/>
              <w:wordWrap w:val="0"/>
              <w:ind w:firstLine="64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0DF15">
            <w:pPr>
              <w:widowControl/>
              <w:wordWrap w:val="0"/>
              <w:ind w:firstLine="64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10E40A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21C4A">
            <w:pPr>
              <w:widowControl/>
              <w:wordWrap w:val="0"/>
              <w:ind w:firstLine="64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14C03">
            <w:pPr>
              <w:widowControl/>
              <w:wordWrap w:val="0"/>
              <w:ind w:firstLine="64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F5D19">
            <w:pPr>
              <w:widowControl/>
              <w:wordWrap w:val="0"/>
              <w:ind w:firstLine="64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EDCE8">
            <w:pPr>
              <w:widowControl/>
              <w:wordWrap w:val="0"/>
              <w:ind w:firstLine="64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9D11B">
            <w:pPr>
              <w:widowControl/>
              <w:wordWrap w:val="0"/>
              <w:ind w:firstLine="64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C56BF">
            <w:pPr>
              <w:widowControl/>
              <w:wordWrap w:val="0"/>
              <w:ind w:firstLine="64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1F00D">
            <w:pPr>
              <w:widowControl/>
              <w:wordWrap w:val="0"/>
              <w:ind w:firstLine="64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860A6">
            <w:pPr>
              <w:widowControl/>
              <w:wordWrap w:val="0"/>
              <w:ind w:firstLine="64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5D24D">
            <w:pPr>
              <w:widowControl/>
              <w:wordWrap w:val="0"/>
              <w:ind w:firstLine="64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32B2B">
            <w:pPr>
              <w:widowControl/>
              <w:wordWrap w:val="0"/>
              <w:ind w:firstLine="64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59C11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3A447">
            <w:pPr>
              <w:widowControl/>
              <w:wordWrap w:val="0"/>
              <w:ind w:firstLine="64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5B88B">
            <w:pPr>
              <w:widowControl/>
              <w:wordWrap w:val="0"/>
              <w:ind w:firstLine="64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E5971">
            <w:pPr>
              <w:widowControl/>
              <w:wordWrap w:val="0"/>
              <w:ind w:firstLine="64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471AE">
            <w:pPr>
              <w:widowControl/>
              <w:wordWrap w:val="0"/>
              <w:ind w:firstLine="64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E693C">
            <w:pPr>
              <w:widowControl/>
              <w:wordWrap w:val="0"/>
              <w:ind w:firstLine="64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451AE">
            <w:pPr>
              <w:widowControl/>
              <w:wordWrap w:val="0"/>
              <w:ind w:firstLine="64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F4738">
            <w:pPr>
              <w:widowControl/>
              <w:wordWrap w:val="0"/>
              <w:ind w:firstLine="64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4B75F">
            <w:pPr>
              <w:widowControl/>
              <w:wordWrap w:val="0"/>
              <w:ind w:firstLine="64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74CE8">
            <w:pPr>
              <w:widowControl/>
              <w:wordWrap w:val="0"/>
              <w:ind w:firstLine="64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84E49">
            <w:pPr>
              <w:widowControl/>
              <w:wordWrap w:val="0"/>
              <w:ind w:firstLine="64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73FC3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78A4A">
            <w:pPr>
              <w:widowControl/>
              <w:wordWrap w:val="0"/>
              <w:ind w:firstLine="64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5470D">
            <w:pPr>
              <w:widowControl/>
              <w:wordWrap w:val="0"/>
              <w:ind w:firstLine="64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01063">
            <w:pPr>
              <w:widowControl/>
              <w:wordWrap w:val="0"/>
              <w:ind w:firstLine="64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9BAC2">
            <w:pPr>
              <w:widowControl/>
              <w:wordWrap w:val="0"/>
              <w:ind w:firstLine="64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0C042">
            <w:pPr>
              <w:widowControl/>
              <w:wordWrap w:val="0"/>
              <w:ind w:firstLine="64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7CA4B">
            <w:pPr>
              <w:widowControl/>
              <w:wordWrap w:val="0"/>
              <w:ind w:firstLine="64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F1DFB">
            <w:pPr>
              <w:widowControl/>
              <w:wordWrap w:val="0"/>
              <w:ind w:firstLine="64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2D1DA">
            <w:pPr>
              <w:widowControl/>
              <w:wordWrap w:val="0"/>
              <w:ind w:firstLine="64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14BCE">
            <w:pPr>
              <w:widowControl/>
              <w:wordWrap w:val="0"/>
              <w:ind w:firstLine="64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F4E51">
            <w:pPr>
              <w:widowControl/>
              <w:wordWrap w:val="0"/>
              <w:ind w:firstLine="64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117C52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DDBDC">
            <w:pPr>
              <w:widowControl/>
              <w:wordWrap w:val="0"/>
              <w:ind w:firstLine="64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AAFEF">
            <w:pPr>
              <w:widowControl/>
              <w:wordWrap w:val="0"/>
              <w:ind w:firstLine="64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92AED">
            <w:pPr>
              <w:widowControl/>
              <w:wordWrap w:val="0"/>
              <w:ind w:firstLine="64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3717">
            <w:pPr>
              <w:widowControl/>
              <w:wordWrap w:val="0"/>
              <w:ind w:firstLine="64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56A20">
            <w:pPr>
              <w:widowControl/>
              <w:wordWrap w:val="0"/>
              <w:ind w:firstLine="64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76CF">
            <w:pPr>
              <w:widowControl/>
              <w:wordWrap w:val="0"/>
              <w:ind w:firstLine="64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7F409">
            <w:pPr>
              <w:widowControl/>
              <w:wordWrap w:val="0"/>
              <w:ind w:firstLine="64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7EE86">
            <w:pPr>
              <w:widowControl/>
              <w:wordWrap w:val="0"/>
              <w:ind w:firstLine="64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2D62C">
            <w:pPr>
              <w:widowControl/>
              <w:wordWrap w:val="0"/>
              <w:ind w:firstLine="64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CDA24">
            <w:pPr>
              <w:widowControl/>
              <w:wordWrap w:val="0"/>
              <w:ind w:firstLine="64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17D2D5C2">
      <w:pPr>
        <w:widowControl/>
        <w:wordWrap w:val="0"/>
        <w:spacing w:line="340" w:lineRule="atLeast"/>
        <w:ind w:firstLine="480"/>
        <w:rPr>
          <w:rFonts w:ascii="宋体" w:hAnsi="宋体" w:cs="宋体"/>
          <w:color w:val="333333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shd w:val="clear" w:color="auto" w:fill="FFFFFF"/>
          <w:lang w:bidi="ar"/>
        </w:rPr>
        <w:t>备注：</w:t>
      </w:r>
    </w:p>
    <w:p w14:paraId="5A059D5D">
      <w:pPr>
        <w:widowControl/>
        <w:wordWrap w:val="0"/>
        <w:spacing w:line="340" w:lineRule="atLeast"/>
        <w:ind w:firstLine="720" w:firstLineChars="3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shd w:val="clear" w:color="auto" w:fill="FFFFFF"/>
          <w:lang w:bidi="ar"/>
        </w:rPr>
        <w:t>1.上一年度：完成时间在2023年1月1日--2023年12月31日之间。</w:t>
      </w:r>
    </w:p>
    <w:p w14:paraId="4036697A">
      <w:pPr>
        <w:widowControl/>
        <w:wordWrap w:val="0"/>
        <w:spacing w:line="340" w:lineRule="atLeast"/>
        <w:ind w:firstLine="72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shd w:val="clear" w:color="auto" w:fill="FFFFFF"/>
          <w:lang w:bidi="ar"/>
        </w:rPr>
        <w:t>2.专业：根据《工程咨询行业管理办法》的21个专业填写。</w:t>
      </w:r>
      <w:r>
        <w:rPr>
          <w:rFonts w:hint="eastAsia" w:ascii="宋体" w:hAnsi="宋体" w:cs="宋体"/>
          <w:color w:val="333333"/>
          <w:kern w:val="0"/>
          <w:sz w:val="24"/>
          <w:szCs w:val="24"/>
          <w:shd w:val="clear" w:color="auto" w:fill="FFFFFF"/>
          <w:lang w:val="en-US" w:eastAsia="zh-CN" w:bidi="ar"/>
        </w:rPr>
        <w:t>每一资信专业上传一项全文本报告。</w:t>
      </w:r>
    </w:p>
    <w:p w14:paraId="35BCB376">
      <w:pPr>
        <w:widowControl/>
        <w:wordWrap w:val="0"/>
        <w:spacing w:line="340" w:lineRule="atLeast"/>
        <w:ind w:firstLine="72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shd w:val="clear" w:color="auto" w:fill="FFFFFF"/>
          <w:lang w:bidi="ar"/>
        </w:rPr>
        <w:t>3.项目名称：根据项目名称及具体服务范围填写，如某某项目可行性研究。</w:t>
      </w:r>
    </w:p>
    <w:p w14:paraId="76A0E2A8">
      <w:pPr>
        <w:widowControl/>
        <w:wordWrap w:val="0"/>
        <w:spacing w:line="340" w:lineRule="atLeast"/>
        <w:ind w:firstLine="720"/>
        <w:rPr>
          <w:rFonts w:ascii="宋体" w:hAnsi="宋体" w:cs="仿宋"/>
          <w:color w:val="333333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shd w:val="clear" w:color="auto" w:fill="FFFFFF"/>
          <w:lang w:bidi="ar"/>
        </w:rPr>
        <w:t>4.服务范围：根据《工程咨询行业管理办法》的四大服务范围填写，包括：规划咨询、项目咨询、评估咨询、全过程咨询</w:t>
      </w:r>
      <w:r>
        <w:rPr>
          <w:rFonts w:hint="eastAsia" w:ascii="宋体" w:hAnsi="宋体" w:cs="仿宋"/>
          <w:color w:val="333333"/>
          <w:kern w:val="0"/>
          <w:sz w:val="24"/>
          <w:szCs w:val="24"/>
          <w:shd w:val="clear" w:color="auto" w:fill="FFFFFF"/>
          <w:lang w:bidi="ar"/>
        </w:rPr>
        <w:t>。</w:t>
      </w:r>
    </w:p>
    <w:p w14:paraId="58526671">
      <w:pPr>
        <w:widowControl/>
        <w:wordWrap w:val="0"/>
        <w:spacing w:line="340" w:lineRule="atLeast"/>
        <w:ind w:firstLine="720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shd w:val="clear" w:color="auto" w:fill="FFFFFF"/>
          <w:lang w:bidi="ar"/>
        </w:rPr>
        <w:t>5.完成时间：根据项目批复、业绩完成证明时间或合同约定的服务内容实际完成时间填写。</w:t>
      </w:r>
    </w:p>
    <w:p w14:paraId="25214C70"/>
    <w:sectPr>
      <w:pgSz w:w="16838" w:h="11906" w:orient="landscape"/>
      <w:pgMar w:top="720" w:right="720" w:bottom="720" w:left="720" w:header="850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ED7B6E-01E9-4D07-8DED-34FE0DB89B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56EC2F5-F20D-403D-A374-3C50C5A25D50}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7A302424-9B18-408A-B9BE-C2BBBD3C653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02EE061-DF54-48C5-B0F1-E23350D060E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FD60A2C-5039-425C-92B7-EF4DF8E9E70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lMjU2ZjE4NDg2MjA1MmYxZjYxYjMwMjQzOWQyYzIifQ=="/>
  </w:docVars>
  <w:rsids>
    <w:rsidRoot w:val="334E5606"/>
    <w:rsid w:val="334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ˎ̥" w:hAnsi="ˎ̥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2024-08-05T06:54:00Z</dcterms:created>
  <dc:creator>强</dc:creator>
  <cp:lastModifiedBy>强</cp:lastModifiedBy>
  <dcterms:modified xsi:type="dcterms:W3CDTF">2024-08-05T06:55:11Z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4F8E495E85AA4247A5137BA7E606A4F3_11</vt:lpwstr>
  </property>
</Properties>
</file>